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1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>
          <w:trHeight w:val="325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4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60474" cy="1690197"/>
                      <wp:effectExtent l="0" t="0" r="1905" b="5715"/>
                      <wp:docPr id="1" name="图片 8" descr="6e02b87c-1eb7-4290-9eda-3db8845a41e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" name="图片 8" descr="6e02b87c-1eb7-4290-9eda-3db8845a41e2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14145" cy="173646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54.37pt;height:133.09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2"/>
            <w:tcW w:w="9345" w:type="dxa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ИЗВЕЩАТЕЛЬ ПОЖАРНЫЙ ДЫМОВОЙ </w:t>
            </w:r>
            <w:r>
              <w:rPr>
                <w:b/>
                <w:bCs/>
              </w:rPr>
              <w:br/>
              <w:t xml:space="preserve">ОПТИКО-ЭЛЕКТРОННЫЙ ТОЧЕЧНЫЙ </w:t>
            </w:r>
            <w:r>
              <w:rPr>
                <w:b/>
                <w:bCs/>
              </w:rPr>
              <w:t xml:space="preserve">АВТОНОМНЫЙ</w:t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AW-</w:t>
            </w:r>
            <w:r>
              <w:rPr>
                <w:b/>
                <w:bCs/>
                <w:lang w:val="en-US"/>
              </w:rPr>
              <w:t xml:space="preserve">D</w:t>
            </w:r>
            <w:r>
              <w:rPr>
                <w:b/>
                <w:bCs/>
              </w:rPr>
              <w:t xml:space="preserve">611</w:t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8"/>
        </w:trPr>
        <w:tc>
          <w:tcPr>
            <w:gridSpan w:val="2"/>
            <w:tcW w:w="9345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ТЕХНИЧЕСКОЕ ОПИСАНИЕ </w:t>
            </w:r>
            <w:r>
              <w:rPr>
                <w:b/>
                <w:bCs/>
                <w:sz w:val="48"/>
                <w:szCs w:val="48"/>
              </w:rPr>
              <w:br/>
            </w:r>
            <w:r>
              <w:rPr>
                <w:b/>
                <w:bCs/>
                <w:sz w:val="48"/>
                <w:szCs w:val="48"/>
              </w:rPr>
              <w:t xml:space="preserve">И ТРЕБОВАНИЯ</w:t>
            </w:r>
            <w:r>
              <w:rPr>
                <w:b/>
                <w:bCs/>
                <w:sz w:val="48"/>
                <w:szCs w:val="4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6"/>
        </w:trPr>
        <w:tc>
          <w:tcPr>
            <w:gridSpan w:val="2"/>
            <w:tcW w:w="934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48"/>
        </w:trPr>
        <w:tc>
          <w:tcPr>
            <w:gridSpan w:val="2"/>
            <w:tcW w:w="9345" w:type="dxa"/>
            <w:vAlign w:val="center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95500" cy="2381250"/>
                      <wp:effectExtent l="0" t="0" r="0" b="0"/>
                      <wp:docPr id="2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95500" cy="238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65.00pt;height:187.50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en-US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tcW w:w="4672" w:type="dxa"/>
            <w:textDirection w:val="lrTb"/>
            <w:noWrap w:val="false"/>
          </w:tcPr>
          <w:p>
            <w:r/>
            <w:r/>
          </w:p>
        </w:tc>
        <w:tc>
          <w:tcPr>
            <w:tcW w:w="4673" w:type="dxa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31"/>
        </w:trPr>
        <w:tc>
          <w:tcPr>
            <w:gridSpan w:val="2"/>
            <w:tcW w:w="9345" w:type="dxa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gridSpan w:val="2"/>
            <w:tcW w:w="9345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84"/>
      </w:pPr>
      <w:r/>
      <w:r/>
    </w:p>
    <w:p>
      <w:pPr>
        <w:pStyle w:val="884"/>
      </w:pPr>
      <w:r/>
      <w:r/>
    </w:p>
    <w:p>
      <w:pPr>
        <w:pStyle w:val="884"/>
      </w:pPr>
      <w:r/>
      <w:r/>
    </w:p>
    <w:p>
      <w:pPr>
        <w:pStyle w:val="884"/>
      </w:pPr>
      <w:r/>
      <w:r/>
    </w:p>
    <w:p>
      <w:pPr>
        <w:pStyle w:val="884"/>
      </w:pPr>
      <w:r/>
      <w:r/>
    </w:p>
    <w:p>
      <w:pPr>
        <w:pStyle w:val="884"/>
      </w:pPr>
      <w:r/>
      <w:r/>
    </w:p>
    <w:p>
      <w:pPr>
        <w:pStyle w:val="884"/>
      </w:pPr>
      <w:r/>
      <w:r/>
    </w:p>
    <w:p>
      <w:pPr>
        <w:pStyle w:val="884"/>
      </w:pPr>
      <w:r/>
      <w:r/>
    </w:p>
    <w:p>
      <w:pPr>
        <w:pStyle w:val="884"/>
        <w:numPr>
          <w:ilvl w:val="0"/>
          <w:numId w:val="2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Основные сведения об изделии</w:t>
      </w:r>
      <w:r>
        <w:rPr>
          <w:b/>
          <w:bCs/>
          <w:sz w:val="32"/>
          <w:szCs w:val="32"/>
        </w:rPr>
      </w:r>
    </w:p>
    <w:p>
      <w:pPr>
        <w:pStyle w:val="884"/>
        <w:ind w:left="720"/>
      </w:pPr>
      <w:r/>
      <w:r/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Извещатели пожарные дымовые оптико-электронные точечные автономные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ИП 212-611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AW-D611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предназначен для обнаружения загораний, сопровождающихся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появлением дыма малой концентрации в закрытых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помещениях различных зданий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сооружений, путем регистрации отраженного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частиц дыма оптического излучения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выдачи тревожных извещений в виде громких звуковых сигналов.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Возврат извещателя в дежурный режим произойдет через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0 с после прекращения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действия на него дыма</w:t>
      </w:r>
      <w:r>
        <w:rPr>
          <w:sz w:val="28"/>
          <w:szCs w:val="28"/>
        </w:rPr>
        <w:t xml:space="preserve">, либо после нажатия кнопки «тест»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Извещатель рассчитан на круглосуточный режим работы.</w:t>
      </w:r>
      <w:r>
        <w:rPr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Извещатель является восстанавливаемым, периодически обслуживаемым изделием.</w:t>
      </w:r>
      <w:r>
        <w:rPr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Конструкция извещателя не предусматривает его использование в условиях воздействия агрессивных сред, пыли, а также во взрывопожароопасных помещениях.</w:t>
      </w:r>
      <w:r>
        <w:rPr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Извещатель состоит из печатной платы, разборного корпуса и базы присоединительной.</w:t>
      </w:r>
      <w:r>
        <w:rPr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На печатной плате находится микроконтроллер, дымовая камера, светодиод.</w:t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numPr>
          <w:ilvl w:val="0"/>
          <w:numId w:val="2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Основные технические данные</w:t>
      </w:r>
      <w:r>
        <w:rPr>
          <w:b/>
          <w:bCs/>
          <w:sz w:val="32"/>
          <w:szCs w:val="32"/>
        </w:rPr>
      </w:r>
    </w:p>
    <w:p>
      <w:pPr>
        <w:pStyle w:val="884"/>
        <w:ind w:left="72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№1</w:t>
      </w:r>
      <w:r>
        <w:rPr>
          <w:b/>
          <w:bCs/>
          <w:sz w:val="28"/>
          <w:szCs w:val="28"/>
        </w:rPr>
      </w:r>
    </w:p>
    <w:tbl>
      <w:tblPr>
        <w:tblStyle w:val="817"/>
        <w:tblW w:w="0" w:type="auto"/>
        <w:tblInd w:w="137" w:type="dxa"/>
        <w:tblLook w:val="04A0" w:firstRow="1" w:lastRow="0" w:firstColumn="1" w:lastColumn="0" w:noHBand="0" w:noVBand="1"/>
      </w:tblPr>
      <w:tblGrid>
        <w:gridCol w:w="7513"/>
        <w:gridCol w:w="2261"/>
      </w:tblGrid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8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Наименование характеристики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pStyle w:val="88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Значение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Электрическое питание извещателя осуществляется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от батареи типа «Крона»</w:t>
            </w:r>
            <w:r>
              <w:rPr>
                <w:sz w:val="28"/>
                <w:szCs w:val="28"/>
              </w:rPr>
              <w:t xml:space="preserve">, В 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pStyle w:val="8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9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Ток потребления</w:t>
            </w:r>
            <w:r>
              <w:rPr>
                <w:sz w:val="28"/>
                <w:szCs w:val="28"/>
              </w:rPr>
              <w:t xml:space="preserve"> в дежурном режиме</w:t>
            </w:r>
            <w:r>
              <w:rPr>
                <w:sz w:val="28"/>
                <w:szCs w:val="28"/>
              </w:rPr>
              <w:t xml:space="preserve">, не более, м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8</w:t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blPrEx/>
        <w:trPr/>
        <w:tc>
          <w:tcPr>
            <w:shd w:val="clear" w:color="auto" w:fill="auto"/>
            <w:tcW w:w="7513" w:type="dxa"/>
            <w:textDirection w:val="lrTb"/>
            <w:noWrap w:val="false"/>
          </w:tcPr>
          <w:p>
            <w:pPr>
              <w:pStyle w:val="8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Ток потребления в тревожном режиме, не более, мА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2261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20</w:t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blPrEx/>
        <w:trPr/>
        <w:tc>
          <w:tcPr>
            <w:shd w:val="clear" w:color="auto" w:fill="auto"/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Чувствительность извещателя</w:t>
            </w:r>
            <w:r>
              <w:rPr>
                <w:sz w:val="28"/>
                <w:szCs w:val="28"/>
              </w:rPr>
              <w:t xml:space="preserve"> в пределах</w:t>
            </w:r>
            <w:r>
              <w:rPr>
                <w:sz w:val="28"/>
                <w:szCs w:val="28"/>
              </w:rPr>
              <w:t xml:space="preserve">, дБ/м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2261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0,</w:t>
            </w:r>
            <w:r>
              <w:rPr>
                <w:sz w:val="28"/>
                <w:szCs w:val="28"/>
              </w:rPr>
              <w:t xml:space="preserve">05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 до </w:t>
            </w:r>
            <w:r>
              <w:rPr>
                <w:sz w:val="28"/>
                <w:szCs w:val="28"/>
              </w:rPr>
              <w:t xml:space="preserve">0,</w:t>
            </w:r>
            <w:r>
              <w:rPr>
                <w:sz w:val="28"/>
                <w:szCs w:val="28"/>
                <w:lang w:val="en-US"/>
              </w:rPr>
              <w:t xml:space="preserve">2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Диапазон рабочих температур, °С 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т </w:t>
            </w:r>
            <w:r>
              <w:rPr>
                <w:sz w:val="28"/>
                <w:szCs w:val="28"/>
                <w:lang w:val="en-US"/>
              </w:rPr>
              <w:t xml:space="preserve">0</w:t>
            </w:r>
            <w:r>
              <w:rPr>
                <w:sz w:val="28"/>
                <w:szCs w:val="28"/>
              </w:rPr>
              <w:t xml:space="preserve"> до +50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Звуковое давление при оповещении на расстоянии 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, дБ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85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Относительная влажность воздуха, %, при +25 °C 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pStyle w:val="8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95 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90"/>
              <w:tabs>
                <w:tab w:val="left" w:pos="19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Радиус зоны контроля при высоте установки до 3,5 м. включительно, м. 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pStyle w:val="8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6,40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Радиус зоны контроля при высоте установки </w:t>
            </w:r>
            <w:r>
              <w:rPr>
                <w:sz w:val="28"/>
                <w:szCs w:val="28"/>
              </w:rPr>
              <w:t xml:space="preserve">свыше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6,0</w:t>
            </w:r>
            <w:r>
              <w:rPr>
                <w:sz w:val="28"/>
                <w:szCs w:val="28"/>
              </w:rPr>
              <w:t xml:space="preserve"> м.</w:t>
            </w:r>
            <w:r>
              <w:rPr>
                <w:sz w:val="28"/>
                <w:szCs w:val="28"/>
              </w:rPr>
              <w:t xml:space="preserve"> до 6,0 м.</w:t>
            </w:r>
            <w:r>
              <w:rPr>
                <w:sz w:val="28"/>
                <w:szCs w:val="28"/>
              </w:rPr>
              <w:t xml:space="preserve"> включительно, м. 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pStyle w:val="8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6,05</w:t>
            </w:r>
            <w:r>
              <w:rPr>
                <w:sz w:val="28"/>
                <w:szCs w:val="28"/>
              </w:rPr>
            </w:r>
          </w:p>
          <w:p>
            <w:pPr>
              <w:pStyle w:val="8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Радиус зоны контроля при высоте установки </w:t>
            </w:r>
            <w:r>
              <w:rPr>
                <w:sz w:val="28"/>
                <w:szCs w:val="28"/>
              </w:rPr>
              <w:t xml:space="preserve">свыше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3,5</w:t>
            </w:r>
            <w:r>
              <w:rPr>
                <w:sz w:val="28"/>
                <w:szCs w:val="28"/>
              </w:rPr>
              <w:t xml:space="preserve"> м.</w:t>
            </w:r>
            <w:r>
              <w:rPr>
                <w:sz w:val="28"/>
                <w:szCs w:val="28"/>
              </w:rPr>
              <w:t xml:space="preserve"> до 10,0 м.</w:t>
            </w:r>
            <w:r>
              <w:rPr>
                <w:sz w:val="28"/>
                <w:szCs w:val="28"/>
              </w:rPr>
              <w:t xml:space="preserve"> включительно, м. 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pStyle w:val="8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5,70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Радиус зоны контроля при высоте установки </w:t>
            </w:r>
            <w:r>
              <w:rPr>
                <w:sz w:val="28"/>
                <w:szCs w:val="28"/>
              </w:rPr>
              <w:t xml:space="preserve">свыше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  <w:t xml:space="preserve"> м.</w:t>
            </w:r>
            <w:r>
              <w:rPr>
                <w:sz w:val="28"/>
                <w:szCs w:val="28"/>
              </w:rPr>
              <w:t xml:space="preserve"> до 12,0 м.</w:t>
            </w:r>
            <w:r>
              <w:rPr>
                <w:sz w:val="28"/>
                <w:szCs w:val="28"/>
              </w:rPr>
              <w:t xml:space="preserve"> включительно, м. 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pStyle w:val="8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5,35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bottom w:val="single" w:color="auto" w:sz="4" w:space="0"/>
            </w:tcBorders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 извещателя, не более, кг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2261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0,1</w:t>
            </w:r>
            <w:r>
              <w:rPr>
                <w:sz w:val="28"/>
                <w:szCs w:val="28"/>
                <w:lang w:val="en-US"/>
              </w:rPr>
              <w:t xml:space="preserve">3</w:t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blPrEx/>
        <w:trPr>
          <w:trHeight w:val="365"/>
        </w:trPr>
        <w:tc>
          <w:tcPr>
            <w:shd w:val="clear" w:color="auto" w:fill="auto"/>
            <w:tcBorders>
              <w:bottom w:val="none" w:color="000000" w:sz="4" w:space="0"/>
            </w:tcBorders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Габаритные размеры извещателя: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bottom w:val="non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65"/>
        </w:trPr>
        <w:tc>
          <w:tcPr>
            <w:shd w:val="clear" w:color="auto" w:fill="auto"/>
            <w:tcBorders>
              <w:top w:val="none" w:color="000000" w:sz="4" w:space="0"/>
              <w:bottom w:val="none" w:color="000000" w:sz="4" w:space="0"/>
            </w:tcBorders>
            <w:tcW w:w="7513" w:type="dxa"/>
            <w:textDirection w:val="lrTb"/>
            <w:noWrap w:val="false"/>
          </w:tcPr>
          <w:p>
            <w:pPr>
              <w:pStyle w:val="8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диаметр, не более, мм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bottom w:val="non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  <w:lang w:val="en-US"/>
              </w:rPr>
              <w:t xml:space="preserve">5</w:t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blPrEx/>
        <w:trPr>
          <w:trHeight w:val="224"/>
        </w:trPr>
        <w:tc>
          <w:tcPr>
            <w:shd w:val="clear" w:color="auto" w:fill="auto"/>
            <w:tcBorders>
              <w:top w:val="none" w:color="000000" w:sz="4" w:space="0"/>
            </w:tcBorders>
            <w:tcW w:w="7513" w:type="dxa"/>
            <w:textDirection w:val="lrTb"/>
            <w:noWrap w:val="false"/>
          </w:tcPr>
          <w:p>
            <w:pPr>
              <w:pStyle w:val="8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высота, не более, мм 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61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  <w:lang w:val="en-US"/>
              </w:rPr>
              <w:t xml:space="preserve">3</w:t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непрерывной работы извещателя 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textDirection w:val="lrTb"/>
            <w:noWrap w:val="false"/>
          </w:tcPr>
          <w:p>
            <w:pPr>
              <w:pStyle w:val="8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круглосуточно 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наработка извещателя на отказ в дежурном режиме работы, не менее, ч 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vAlign w:val="center"/>
            <w:textDirection w:val="lrTb"/>
            <w:noWrap w:val="false"/>
          </w:tcPr>
          <w:p>
            <w:pPr>
              <w:pStyle w:val="8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80000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Вероятность безотказной работы за 1000 ч 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vAlign w:val="center"/>
            <w:textDirection w:val="lrTb"/>
            <w:noWrap w:val="false"/>
          </w:tcPr>
          <w:p>
            <w:pPr>
              <w:pStyle w:val="8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0,98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513" w:type="dxa"/>
            <w:textDirection w:val="lrTb"/>
            <w:noWrap w:val="false"/>
          </w:tcPr>
          <w:p>
            <w:pPr>
              <w:pStyle w:val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Средний срок службы извещателя, лет </w:t>
            </w:r>
            <w:r>
              <w:rPr>
                <w:sz w:val="28"/>
                <w:szCs w:val="28"/>
              </w:rPr>
            </w:r>
          </w:p>
        </w:tc>
        <w:tc>
          <w:tcPr>
            <w:tcW w:w="2261" w:type="dxa"/>
            <w:vAlign w:val="center"/>
            <w:textDirection w:val="lrTb"/>
            <w:noWrap w:val="false"/>
          </w:tcPr>
          <w:p>
            <w:pPr>
              <w:pStyle w:val="8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84"/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Степень защиты, обеспечиваемая оболочкой приборов, – IР 20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ГОСТ 14254-2015.</w:t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11900" cy="2438400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11900" cy="24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7.00pt;height:192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numPr>
          <w:ilvl w:val="0"/>
          <w:numId w:val="2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Комплектность</w:t>
      </w:r>
      <w:r>
        <w:rPr>
          <w:b/>
          <w:bCs/>
          <w:sz w:val="32"/>
          <w:szCs w:val="32"/>
        </w:rPr>
      </w:r>
    </w:p>
    <w:p>
      <w:pPr>
        <w:pStyle w:val="884"/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pStyle w:val="884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Комплектность </w:t>
      </w:r>
      <w:r>
        <w:rPr>
          <w:sz w:val="28"/>
          <w:szCs w:val="28"/>
        </w:rPr>
        <w:t xml:space="preserve">извещателя</w:t>
      </w:r>
      <w:r>
        <w:rPr>
          <w:sz w:val="28"/>
          <w:szCs w:val="28"/>
        </w:rPr>
        <w:t xml:space="preserve"> приведена в таблице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884"/>
        <w:ind w:left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left="72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№</w:t>
      </w:r>
      <w:r>
        <w:rPr>
          <w:b/>
          <w:bCs/>
          <w:sz w:val="28"/>
          <w:szCs w:val="28"/>
        </w:rPr>
        <w:t xml:space="preserve">2</w:t>
      </w:r>
      <w:r>
        <w:rPr>
          <w:b/>
          <w:bCs/>
          <w:sz w:val="28"/>
          <w:szCs w:val="28"/>
        </w:rPr>
      </w:r>
    </w:p>
    <w:tbl>
      <w:tblPr>
        <w:tblStyle w:val="817"/>
        <w:tblW w:w="0" w:type="auto"/>
        <w:tblInd w:w="279" w:type="dxa"/>
        <w:tblLook w:val="04A0" w:firstRow="1" w:lastRow="0" w:firstColumn="1" w:lastColumn="0" w:noHBand="0" w:noVBand="1"/>
      </w:tblPr>
      <w:tblGrid>
        <w:gridCol w:w="4775"/>
        <w:gridCol w:w="2818"/>
        <w:gridCol w:w="2039"/>
      </w:tblGrid>
      <w:tr>
        <w:tblPrEx/>
        <w:trPr/>
        <w:tc>
          <w:tcPr>
            <w:tcW w:w="4775" w:type="dxa"/>
            <w:vAlign w:val="center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Наименование</w:t>
            </w:r>
            <w:r>
              <w:rPr>
                <w:sz w:val="28"/>
                <w:szCs w:val="28"/>
              </w:rPr>
            </w:r>
          </w:p>
        </w:tc>
        <w:tc>
          <w:tcPr>
            <w:tcW w:w="2818" w:type="dxa"/>
            <w:vAlign w:val="center"/>
            <w:textDirection w:val="lrTb"/>
            <w:noWrap w:val="false"/>
          </w:tcPr>
          <w:p>
            <w:pPr>
              <w:pStyle w:val="88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Количество,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88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шт.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039" w:type="dxa"/>
            <w:vAlign w:val="center"/>
            <w:textDirection w:val="lrTb"/>
            <w:noWrap w:val="false"/>
          </w:tcPr>
          <w:p>
            <w:pPr>
              <w:pStyle w:val="88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Примечание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4775" w:type="dxa"/>
            <w:textDirection w:val="lrTb"/>
            <w:noWrap w:val="false"/>
          </w:tcPr>
          <w:p>
            <w:pPr>
              <w:pStyle w:val="8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Извещатели пожарные дымовые оптико-электронные точечные автономные ИП 212-611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AW-D611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</w:p>
        </w:tc>
        <w:tc>
          <w:tcPr>
            <w:tcW w:w="2818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W w:w="2039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4775" w:type="dxa"/>
            <w:textDirection w:val="lrTb"/>
            <w:noWrap w:val="false"/>
          </w:tcPr>
          <w:p>
            <w:pPr>
              <w:pStyle w:val="8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База</w:t>
            </w:r>
            <w:r>
              <w:rPr>
                <w:sz w:val="28"/>
                <w:szCs w:val="28"/>
              </w:rPr>
            </w:r>
          </w:p>
        </w:tc>
        <w:tc>
          <w:tcPr>
            <w:tcW w:w="2818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W w:w="2039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4775" w:type="dxa"/>
            <w:textDirection w:val="lrTb"/>
            <w:noWrap w:val="false"/>
          </w:tcPr>
          <w:p>
            <w:pPr>
              <w:pStyle w:val="8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Элемент питания</w:t>
            </w:r>
            <w:r>
              <w:rPr>
                <w:sz w:val="28"/>
                <w:szCs w:val="28"/>
              </w:rPr>
            </w:r>
          </w:p>
        </w:tc>
        <w:tc>
          <w:tcPr>
            <w:tcW w:w="2818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W w:w="2039" w:type="dxa"/>
            <w:textDirection w:val="lrTb"/>
            <w:noWrap w:val="false"/>
          </w:tcPr>
          <w:p>
            <w:pPr>
              <w:pStyle w:val="8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84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numPr>
          <w:ilvl w:val="0"/>
          <w:numId w:val="2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Техническое обслуживание</w:t>
      </w:r>
      <w:r>
        <w:rPr>
          <w:b/>
          <w:bCs/>
          <w:sz w:val="32"/>
          <w:szCs w:val="32"/>
        </w:rPr>
      </w:r>
    </w:p>
    <w:p>
      <w:pPr>
        <w:pStyle w:val="8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исключения ложных срабатываний из-за запыленности оптической системы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извещателя необходимо не реже одного раза в шесть месяцев очищать дымовую камеру 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пыли. Для этого квалифицированному персоналу разрешается снимать дымовую камеру 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очистки или заменять ее. Последовательность действий при замене камеры:</w:t>
      </w:r>
      <w:r>
        <w:rPr>
          <w:sz w:val="28"/>
          <w:szCs w:val="28"/>
        </w:rPr>
      </w:r>
    </w:p>
    <w:p>
      <w:pPr>
        <w:pStyle w:val="88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а) расположить извещатель этикеткой вверх, извлечь элемент питания, аккуратно отжать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четыре замка и отделить крышку извещателя от основания;</w:t>
      </w:r>
      <w:r>
        <w:rPr>
          <w:sz w:val="28"/>
          <w:szCs w:val="28"/>
        </w:rPr>
      </w:r>
    </w:p>
    <w:p>
      <w:pPr>
        <w:pStyle w:val="88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б) отжать замки на дымовой камере и снять ее;</w:t>
      </w:r>
      <w:r>
        <w:rPr>
          <w:sz w:val="28"/>
          <w:szCs w:val="28"/>
        </w:rPr>
      </w:r>
    </w:p>
    <w:p>
      <w:pPr>
        <w:pStyle w:val="88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в) очистить дымовую камеру от пыли с помощью кисточки с мягким ворсом или продув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чистым сжатым воздухом с давлением 1-2 кг/см2.</w:t>
      </w:r>
      <w:r>
        <w:rPr>
          <w:sz w:val="28"/>
          <w:szCs w:val="28"/>
        </w:rPr>
      </w:r>
    </w:p>
    <w:p>
      <w:pPr>
        <w:pStyle w:val="88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После установки нового элемента питания, а также периодически (не реже 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раза в три месяца) необходимо проверять работоспособность извещателя </w:t>
      </w:r>
      <w:r>
        <w:rPr>
          <w:sz w:val="28"/>
          <w:szCs w:val="28"/>
        </w:rPr>
        <w:t xml:space="preserve">путём нажатия кнопки «тест»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884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появлении сигнала «Разряд батареи» заменить элемент питания.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          </w:t>
      </w:r>
      <w:r>
        <w:rPr>
          <w:sz w:val="28"/>
          <w:szCs w:val="28"/>
        </w:rPr>
        <w:t xml:space="preserve">При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выявлении нарушений в работе </w:t>
      </w:r>
      <w:r>
        <w:rPr>
          <w:sz w:val="28"/>
          <w:szCs w:val="28"/>
        </w:rPr>
        <w:t xml:space="preserve">извещателя</w:t>
      </w:r>
      <w:r>
        <w:rPr>
          <w:sz w:val="28"/>
          <w:szCs w:val="28"/>
        </w:rPr>
        <w:t xml:space="preserve"> следует обратиться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техподдержку </w:t>
      </w:r>
      <w:r>
        <w:rPr>
          <w:sz w:val="28"/>
          <w:szCs w:val="28"/>
          <w:lang w:val="en-US"/>
        </w:rPr>
        <w:t xml:space="preserve">Asenware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884"/>
        <w:ind w:firstLine="70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numPr>
          <w:ilvl w:val="0"/>
          <w:numId w:val="2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Транспортирование и хранение</w:t>
      </w:r>
      <w:r>
        <w:rPr>
          <w:b/>
          <w:bCs/>
          <w:sz w:val="32"/>
          <w:szCs w:val="32"/>
        </w:rPr>
      </w:r>
    </w:p>
    <w:p>
      <w:pPr>
        <w:pStyle w:val="884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Извещатель</w:t>
      </w:r>
      <w:r>
        <w:rPr>
          <w:sz w:val="28"/>
          <w:szCs w:val="28"/>
        </w:rPr>
        <w:t xml:space="preserve"> в транспортной упаковке перевозятся любым видом транспортных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 (в железнодорожных вагонах, закрытых автомашинах, трюмах и отсеках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судов, герметизированных отапливаемых отсеках самолетов и т.д.) в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требованиями действующих нормативных документов.</w:t>
      </w:r>
      <w:r>
        <w:rPr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Условия транспортирования должны соответствовать условиям хранения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ГОСТ 15150-69.</w:t>
      </w:r>
      <w:r>
        <w:rPr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Хранение </w:t>
      </w:r>
      <w:r>
        <w:rPr>
          <w:sz w:val="28"/>
          <w:szCs w:val="28"/>
        </w:rPr>
        <w:t xml:space="preserve">извещателя</w:t>
      </w:r>
      <w:r>
        <w:rPr>
          <w:sz w:val="28"/>
          <w:szCs w:val="28"/>
        </w:rPr>
        <w:t xml:space="preserve"> в транспортной упаковке в складах изготовителя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потребителя должно соответствовать условиям 1 по ГОСТ 15150-69.</w:t>
      </w:r>
      <w:r>
        <w:rPr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numPr>
          <w:ilvl w:val="0"/>
          <w:numId w:val="2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Утилизация</w:t>
      </w:r>
      <w:r>
        <w:rPr>
          <w:b/>
          <w:bCs/>
          <w:sz w:val="32"/>
          <w:szCs w:val="32"/>
        </w:rPr>
      </w:r>
    </w:p>
    <w:p>
      <w:pPr>
        <w:pStyle w:val="8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Извещатель пожарный</w:t>
      </w:r>
      <w:r>
        <w:rPr>
          <w:sz w:val="28"/>
          <w:szCs w:val="28"/>
        </w:rPr>
        <w:t xml:space="preserve"> не оказывают вредного влияния на окружающую среду, 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содержат в своем составе материалов, при утилизации которых необходимы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специальные меры безопасности.</w:t>
      </w:r>
      <w:r>
        <w:rPr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Извещатель пожарный</w:t>
      </w:r>
      <w:r>
        <w:rPr>
          <w:sz w:val="28"/>
          <w:szCs w:val="28"/>
        </w:rPr>
        <w:t xml:space="preserve"> явля</w:t>
      </w:r>
      <w:r>
        <w:rPr>
          <w:sz w:val="28"/>
          <w:szCs w:val="28"/>
        </w:rPr>
        <w:t xml:space="preserve">ется</w:t>
      </w:r>
      <w:r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м, содержащими электронные компоненты,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подлежат способам утилизации, которые применяются для изделий подобного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типа согласно инструкциям и правилам, действующим в вашем регионе.</w:t>
      </w:r>
      <w:r>
        <w:rPr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numPr>
          <w:ilvl w:val="0"/>
          <w:numId w:val="2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Гарантии изготовителя (поставщика)</w:t>
      </w:r>
      <w:r>
        <w:rPr>
          <w:b/>
          <w:bCs/>
          <w:sz w:val="32"/>
          <w:szCs w:val="32"/>
        </w:rPr>
      </w:r>
    </w:p>
    <w:p>
      <w:pPr>
        <w:pStyle w:val="884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4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Предприятие-изготовитель (поставщик) гарантирует соответствие приборов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требованиям технических условий при соблюдении потребителем условий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транспортирования, хранения, монтажа и эксплуатации.</w:t>
      </w:r>
      <w:r>
        <w:rPr>
          <w:sz w:val="28"/>
          <w:szCs w:val="28"/>
        </w:rPr>
      </w:r>
    </w:p>
    <w:p>
      <w:pPr>
        <w:pStyle w:val="884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Предприятие-изготовитель (поставщик) рекомендует выполнять работы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монтажу, настройке и эксплуатации оборудования организациями, имеющими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соответствующие лицензии и допуски, а также аттестованными специалистами,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имеющими соответствующий квалификационный уровень.</w:t>
      </w:r>
      <w:r>
        <w:rPr>
          <w:sz w:val="28"/>
          <w:szCs w:val="28"/>
        </w:rPr>
      </w:r>
    </w:p>
    <w:p>
      <w:pPr>
        <w:pStyle w:val="884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Гарантийный срок эксплуатации – 18 месяцев со дня ввода в эксплуатацию,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но не более 24 месяцев с даты выпуска.</w:t>
      </w:r>
      <w:r>
        <w:rPr>
          <w:sz w:val="28"/>
          <w:szCs w:val="28"/>
        </w:rPr>
      </w:r>
    </w:p>
    <w:p>
      <w:pPr>
        <w:pStyle w:val="884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В течение гарантийного срока эксплуатации предприятие-изготовитель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(поставщик) производит безвозмездный ремонт или замену </w:t>
      </w:r>
      <w:r>
        <w:rPr>
          <w:sz w:val="28"/>
          <w:szCs w:val="28"/>
        </w:rPr>
        <w:t xml:space="preserve">извещателей пожарных</w:t>
      </w:r>
      <w:r>
        <w:rPr>
          <w:sz w:val="28"/>
          <w:szCs w:val="28"/>
        </w:rPr>
        <w:t xml:space="preserve">. Предприятие-изготовитель (поставщик) не несет ответственности и не возмещает ущерба 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дефекты, возникшие по вине потребителя при несоблюдении </w:t>
      </w:r>
      <w:r>
        <w:rPr>
          <w:sz w:val="28"/>
          <w:szCs w:val="28"/>
        </w:rPr>
        <w:t xml:space="preserve">правил эксплуатации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монтажа, а также в случае попытк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самостоятельного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ремонта изделия.</w:t>
      </w:r>
      <w:r>
        <w:rPr>
          <w:sz w:val="28"/>
          <w:szCs w:val="28"/>
        </w:rPr>
      </w:r>
    </w:p>
    <w:p>
      <w:pPr>
        <w:pStyle w:val="88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случае выхода </w:t>
      </w:r>
      <w:r>
        <w:rPr>
          <w:sz w:val="28"/>
          <w:szCs w:val="28"/>
        </w:rPr>
        <w:t xml:space="preserve">извещателя пожарного </w:t>
      </w:r>
      <w:r>
        <w:rPr>
          <w:sz w:val="28"/>
          <w:szCs w:val="28"/>
        </w:rPr>
        <w:t xml:space="preserve">из строя в период гарантийного обслуживания, 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го </w:t>
      </w:r>
      <w:r>
        <w:rPr>
          <w:sz w:val="28"/>
          <w:szCs w:val="28"/>
        </w:rPr>
        <w:t xml:space="preserve">следует вместе с настоящим паспортом, с указанием наработки прибора на момент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отказа и причины снятия с эксплуатации возвратить по адресу:</w:t>
      </w:r>
      <w:r>
        <w:rPr>
          <w:sz w:val="28"/>
          <w:szCs w:val="28"/>
        </w:rPr>
      </w:r>
    </w:p>
    <w:p>
      <w:pPr>
        <w:pStyle w:val="884"/>
        <w:rPr>
          <w:sz w:val="28"/>
          <w:szCs w:val="28"/>
        </w:rPr>
      </w:pPr>
      <w:r>
        <w:rPr>
          <w:sz w:val="28"/>
          <w:szCs w:val="28"/>
        </w:rPr>
        <w:t xml:space="preserve">350062, Краснодарский край, г. Краснодар, им. Ковалева ул., дом № 5, офис №6</w:t>
      </w:r>
      <w:r>
        <w:rPr>
          <w:sz w:val="28"/>
          <w:szCs w:val="28"/>
        </w:rPr>
      </w:r>
    </w:p>
    <w:p>
      <w:pPr>
        <w:pStyle w:val="884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994" w:right="851" w:bottom="1134" w:left="1134" w:header="709" w:footer="372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Segoe UI">
    <w:panose1 w:val="020B0502040504020204"/>
  </w:font>
  <w:font w:name="Microsoft Sans Serif">
    <w:panose1 w:val="020B0604020202020204"/>
  </w:font>
  <w:font w:name="Bahnschrift Light SemiCondensed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0099" w:type="dxa"/>
      <w:tblInd w:w="-39" w:type="dxa"/>
      <w:tblLook w:val="00A0" w:firstRow="1" w:lastRow="0" w:firstColumn="1" w:lastColumn="0" w:noHBand="0" w:noVBand="0"/>
    </w:tblPr>
    <w:tblGrid>
      <w:gridCol w:w="7194"/>
      <w:gridCol w:w="1337"/>
      <w:gridCol w:w="1568"/>
    </w:tblGrid>
    <w:tr>
      <w:tblPrEx/>
      <w:trPr>
        <w:trHeight w:val="20"/>
      </w:trPr>
      <w:tc>
        <w:tcPr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tcW w:w="7194" w:type="dxa"/>
          <w:vAlign w:val="center"/>
          <w:vMerge w:val="restart"/>
          <w:textDirection w:val="lrTb"/>
          <w:noWrap w:val="false"/>
        </w:tcPr>
        <w:p>
          <w:pPr>
            <w:pStyle w:val="824"/>
            <w:rPr>
              <w:rFonts w:ascii="Times New Roman" w:hAnsi="Times New Roman"/>
              <w:lang w:val="ru-RU"/>
            </w:rPr>
          </w:pPr>
          <w:r>
            <w:rPr>
              <w:rFonts w:ascii="Times New Roman" w:hAnsi="Times New Roman"/>
              <w:lang w:val="ru-RU"/>
            </w:rPr>
            <w:t xml:space="preserve">Извещатели пожарные дымовые оптико-электронные точечные автономные </w:t>
          </w:r>
          <w:r>
            <w:rPr>
              <w:rFonts w:ascii="Times New Roman" w:hAnsi="Times New Roman"/>
              <w:lang w:val="ru-RU"/>
            </w:rPr>
          </w:r>
        </w:p>
        <w:p>
          <w:pPr>
            <w:pStyle w:val="824"/>
            <w:rPr>
              <w:rFonts w:ascii="Times New Roman" w:hAnsi="Times New Roman"/>
              <w:lang w:val="ru-RU"/>
            </w:rPr>
          </w:pPr>
          <w:r>
            <w:rPr>
              <w:rFonts w:ascii="Times New Roman" w:hAnsi="Times New Roman"/>
              <w:lang w:val="ru-RU"/>
            </w:rPr>
            <w:t xml:space="preserve">ИП 212-611 «AW-D611» </w:t>
          </w:r>
          <w:r>
            <w:rPr>
              <w:rFonts w:ascii="Times New Roman" w:hAnsi="Times New Roman"/>
              <w:lang w:val="ru-RU"/>
            </w:rPr>
          </w:r>
        </w:p>
        <w:p>
          <w:pPr>
            <w:pStyle w:val="824"/>
            <w:rPr>
              <w:rFonts w:ascii="Times New Roman" w:hAnsi="Times New Roman"/>
              <w:lang w:val="ru-RU"/>
            </w:rPr>
          </w:pPr>
          <w:r>
            <w:rPr>
              <w:rFonts w:ascii="Times New Roman" w:hAnsi="Times New Roman"/>
            </w:rPr>
            <w:t xml:space="preserve">Техническое описание и требования</w:t>
          </w:r>
          <w:r>
            <w:rPr>
              <w:rFonts w:ascii="Times New Roman" w:hAnsi="Times New Roman"/>
              <w:lang w:val="ru-RU"/>
            </w:rPr>
          </w:r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1337" w:type="dxa"/>
          <w:textDirection w:val="lrTb"/>
          <w:noWrap w:val="false"/>
        </w:tcPr>
        <w:p>
          <w:pPr>
            <w:pStyle w:val="826"/>
            <w:jc w:val="center"/>
            <w:rPr>
              <w:rFonts w:ascii="Times New Roman" w:hAnsi="Times New Roman"/>
              <w:i w:val="0"/>
              <w:iCs w:val="0"/>
              <w:lang w:val="en-US"/>
            </w:rPr>
          </w:pPr>
          <w:r>
            <w:rPr>
              <w:rFonts w:ascii="Times New Roman" w:hAnsi="Times New Roman"/>
              <w:i w:val="0"/>
              <w:iCs w:val="0"/>
            </w:rPr>
            <w:t xml:space="preserve">Версия</w:t>
          </w:r>
          <w:r>
            <w:rPr>
              <w:rFonts w:ascii="Times New Roman" w:hAnsi="Times New Roman"/>
              <w:i w:val="0"/>
              <w:iCs w:val="0"/>
              <w:lang w:val="en-US"/>
            </w:rPr>
          </w:r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1568" w:type="dxa"/>
          <w:textDirection w:val="lrTb"/>
          <w:noWrap w:val="false"/>
        </w:tcPr>
        <w:p>
          <w:pPr>
            <w:pStyle w:val="826"/>
            <w:jc w:val="center"/>
            <w:rPr>
              <w:rFonts w:ascii="Times New Roman" w:hAnsi="Times New Roman"/>
              <w:i w:val="0"/>
              <w:iCs w:val="0"/>
              <w:lang w:val="en-US"/>
            </w:rPr>
          </w:pPr>
          <w:r>
            <w:rPr>
              <w:rFonts w:ascii="Times New Roman" w:hAnsi="Times New Roman"/>
              <w:i w:val="0"/>
              <w:iCs w:val="0"/>
            </w:rPr>
            <w:t xml:space="preserve">Страница</w:t>
          </w:r>
          <w:r>
            <w:rPr>
              <w:rFonts w:ascii="Times New Roman" w:hAnsi="Times New Roman"/>
              <w:i w:val="0"/>
              <w:iCs w:val="0"/>
              <w:lang w:val="en-US"/>
            </w:rPr>
          </w:r>
        </w:p>
      </w:tc>
    </w:tr>
    <w:tr>
      <w:tblPrEx/>
      <w:trPr>
        <w:trHeight w:val="314"/>
      </w:trPr>
      <w:tc>
        <w:tcPr>
          <w:tcBorders>
            <w:left w:val="single" w:color="auto" w:sz="4" w:space="0"/>
            <w:bottom w:val="single" w:color="auto" w:sz="4" w:space="0"/>
            <w:right w:val="single" w:color="auto" w:sz="4" w:space="0"/>
          </w:tcBorders>
          <w:tcW w:w="7194" w:type="dxa"/>
          <w:vMerge w:val="continue"/>
          <w:textDirection w:val="lrTb"/>
          <w:noWrap w:val="false"/>
        </w:tcPr>
        <w:p>
          <w:pPr>
            <w:pStyle w:val="824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</w:r>
          <w:r>
            <w:rPr>
              <w:rFonts w:ascii="Times New Roman" w:hAnsi="Times New Roman"/>
            </w:rPr>
          </w:r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1337" w:type="dxa"/>
          <w:vAlign w:val="center"/>
          <w:textDirection w:val="lrTb"/>
          <w:noWrap w:val="false"/>
        </w:tcPr>
        <w:p>
          <w:pPr>
            <w:pStyle w:val="824"/>
            <w:jc w:val="center"/>
            <w:rPr>
              <w:rFonts w:ascii="Times New Roman" w:hAnsi="Times New Roman"/>
              <w:lang w:val="ru-RU"/>
            </w:rPr>
          </w:pPr>
          <w:r>
            <w:rPr>
              <w:rFonts w:ascii="Times New Roman" w:hAnsi="Times New Roman"/>
              <w:lang w:val="ru-RU"/>
            </w:rPr>
            <w:t xml:space="preserve">2</w:t>
          </w:r>
          <w:r>
            <w:rPr>
              <w:rFonts w:ascii="Times New Roman" w:hAnsi="Times New Roman"/>
            </w:rPr>
            <w:t xml:space="preserve">.</w:t>
          </w:r>
          <w:r>
            <w:rPr>
              <w:rFonts w:ascii="Times New Roman" w:hAnsi="Times New Roman"/>
              <w:lang w:val="ru-RU"/>
            </w:rPr>
            <w:t xml:space="preserve">0</w:t>
          </w:r>
          <w:r>
            <w:rPr>
              <w:rFonts w:ascii="Times New Roman" w:hAnsi="Times New Roman"/>
              <w:lang w:val="ru-RU"/>
            </w:rPr>
          </w:r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1568" w:type="dxa"/>
          <w:vAlign w:val="center"/>
          <w:textDirection w:val="lrTb"/>
          <w:noWrap w:val="false"/>
        </w:tcPr>
        <w:p>
          <w:pPr>
            <w:pStyle w:val="824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PAGE  \* Arabic  \* MERGEFORMAT</w:instrText>
          </w:r>
          <w:r>
            <w:rPr>
              <w:rFonts w:ascii="Times New Roman" w:hAnsi="Times New Roman"/>
            </w:rPr>
            <w:fldChar w:fldCharType="separate"/>
          </w:r>
          <w:r>
            <w:rPr>
              <w:rFonts w:ascii="Times New Roman" w:hAnsi="Times New Roman"/>
            </w:rPr>
            <w:t xml:space="preserve">12</w:t>
          </w:r>
          <w:r>
            <w:rPr>
              <w:rFonts w:ascii="Times New Roman" w:hAnsi="Times New Roman"/>
            </w:rPr>
            <w:fldChar w:fldCharType="end"/>
          </w:r>
          <w:r>
            <w:rPr>
              <w:rFonts w:ascii="Times New Roman" w:hAnsi="Times New Roman"/>
            </w:rPr>
          </w:r>
        </w:p>
      </w:tc>
    </w:tr>
  </w:tbl>
  <w:p>
    <w:pPr>
      <w:pStyle w:val="813"/>
      <w:jc w:val="center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395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511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583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655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727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799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871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943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10155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pStyle w:val="856"/>
      <w:isLgl w:val="false"/>
      <w:suff w:val="tab"/>
      <w:lvlText w:val="[%1]"/>
      <w:lvlJc w:val="left"/>
      <w:pPr>
        <w:ind w:left="644" w:hanging="360"/>
      </w:pPr>
      <w:rPr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pStyle w:val="799"/>
      <w:isLgl w:val="false"/>
      <w:suff w:val="tab"/>
      <w:lvlText w:val="%1"/>
      <w:lvlJc w:val="left"/>
      <w:pPr>
        <w:ind w:left="432" w:hanging="432"/>
      </w:pPr>
    </w:lvl>
    <w:lvl w:ilvl="1">
      <w:start w:val="1"/>
      <w:numFmt w:val="decimal"/>
      <w:pStyle w:val="800"/>
      <w:isLgl w:val="false"/>
      <w:suff w:val="tab"/>
      <w:lvlText w:val="%1.%2"/>
      <w:lvlJc w:val="left"/>
      <w:pPr>
        <w:ind w:left="4830" w:hanging="576"/>
      </w:pPr>
    </w:lvl>
    <w:lvl w:ilvl="2">
      <w:start w:val="1"/>
      <w:numFmt w:val="decimal"/>
      <w:pStyle w:val="801"/>
      <w:isLgl w:val="false"/>
      <w:suff w:val="tab"/>
      <w:lvlText w:val="%1.%2.%3"/>
      <w:lvlJc w:val="left"/>
      <w:pPr>
        <w:ind w:left="1997" w:hanging="720"/>
      </w:pPr>
    </w:lvl>
    <w:lvl w:ilvl="3">
      <w:start w:val="1"/>
      <w:numFmt w:val="decimal"/>
      <w:pStyle w:val="802"/>
      <w:isLgl w:val="false"/>
      <w:suff w:val="tab"/>
      <w:lvlText w:val="%1.%2.%3.%4"/>
      <w:lvlJc w:val="left"/>
      <w:pPr>
        <w:ind w:left="864" w:hanging="864"/>
      </w:pPr>
    </w:lvl>
    <w:lvl w:ilvl="4">
      <w:start w:val="1"/>
      <w:numFmt w:val="decimal"/>
      <w:pStyle w:val="803"/>
      <w:isLgl w:val="false"/>
      <w:suff w:val="tab"/>
      <w:lvlText w:val="%1.%2.%3.%4.%5"/>
      <w:lvlJc w:val="left"/>
      <w:pPr>
        <w:ind w:left="1008" w:hanging="1008"/>
      </w:pPr>
    </w:lvl>
    <w:lvl w:ilvl="5">
      <w:start w:val="1"/>
      <w:numFmt w:val="decimal"/>
      <w:pStyle w:val="804"/>
      <w:isLgl w:val="false"/>
      <w:suff w:val="tab"/>
      <w:lvlText w:val="%1.%2.%3.%4.%5.%6"/>
      <w:lvlJc w:val="left"/>
      <w:pPr>
        <w:ind w:left="1152" w:hanging="1152"/>
      </w:pPr>
    </w:lvl>
    <w:lvl w:ilvl="6">
      <w:start w:val="1"/>
      <w:numFmt w:val="decimal"/>
      <w:pStyle w:val="805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06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807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russianLower"/>
      <w:pStyle w:val="865"/>
      <w:isLgl w:val="false"/>
      <w:suff w:val="tab"/>
      <w:lvlText w:val="%1)"/>
      <w:lvlJc w:val="left"/>
      <w:pPr>
        <w:ind w:left="22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0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7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4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1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8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6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3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040" w:hanging="180"/>
      </w:pPr>
    </w:lvl>
  </w:abstractNum>
  <w:abstractNum w:abstractNumId="9">
    <w:multiLevelType w:val="hybridMultilevel"/>
    <w:lvl w:ilvl="0">
      <w:start w:val="1"/>
      <w:numFmt w:val="bullet"/>
      <w:pStyle w:val="867"/>
      <w:isLgl w:val="false"/>
      <w:suff w:val="tab"/>
      <w:lvlText w:val=""/>
      <w:lvlJc w:val="left"/>
      <w:pPr>
        <w:ind w:left="22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0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7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4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1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8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6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3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04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11"/>
  </w:num>
  <w:num w:numId="6">
    <w:abstractNumId w:val="25"/>
  </w:num>
  <w:num w:numId="7">
    <w:abstractNumId w:val="21"/>
  </w:num>
  <w:num w:numId="8">
    <w:abstractNumId w:val="14"/>
  </w:num>
  <w:num w:numId="9">
    <w:abstractNumId w:val="20"/>
  </w:num>
  <w:num w:numId="10">
    <w:abstractNumId w:val="13"/>
  </w:num>
  <w:num w:numId="11">
    <w:abstractNumId w:val="7"/>
  </w:num>
  <w:num w:numId="12">
    <w:abstractNumId w:val="19"/>
  </w:num>
  <w:num w:numId="13">
    <w:abstractNumId w:val="24"/>
  </w:num>
  <w:num w:numId="14">
    <w:abstractNumId w:val="15"/>
  </w:num>
  <w:num w:numId="15">
    <w:abstractNumId w:val="12"/>
  </w:num>
  <w:num w:numId="16">
    <w:abstractNumId w:val="5"/>
  </w:num>
  <w:num w:numId="17">
    <w:abstractNumId w:val="0"/>
  </w:num>
  <w:num w:numId="18">
    <w:abstractNumId w:val="2"/>
  </w:num>
  <w:num w:numId="19">
    <w:abstractNumId w:val="1"/>
  </w:num>
  <w:num w:numId="20">
    <w:abstractNumId w:val="26"/>
  </w:num>
  <w:num w:numId="21">
    <w:abstractNumId w:val="16"/>
  </w:num>
  <w:num w:numId="22">
    <w:abstractNumId w:val="27"/>
  </w:num>
  <w:num w:numId="23">
    <w:abstractNumId w:val="17"/>
  </w:num>
  <w:num w:numId="24">
    <w:abstractNumId w:val="6"/>
  </w:num>
  <w:num w:numId="25">
    <w:abstractNumId w:val="10"/>
  </w:num>
  <w:num w:numId="26">
    <w:abstractNumId w:val="18"/>
  </w:num>
  <w:num w:numId="27">
    <w:abstractNumId w:val="4"/>
  </w:num>
  <w:num w:numId="28">
    <w:abstractNumId w:val="2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808"/>
    <w:link w:val="79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808"/>
    <w:link w:val="800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808"/>
    <w:link w:val="80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808"/>
    <w:link w:val="80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808"/>
    <w:link w:val="80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808"/>
    <w:link w:val="80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808"/>
    <w:link w:val="80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808"/>
    <w:link w:val="80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808"/>
    <w:link w:val="80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798"/>
    <w:next w:val="79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808"/>
    <w:link w:val="35"/>
    <w:uiPriority w:val="10"/>
    <w:rPr>
      <w:sz w:val="48"/>
      <w:szCs w:val="48"/>
    </w:rPr>
  </w:style>
  <w:style w:type="paragraph" w:styleId="37">
    <w:name w:val="Subtitle"/>
    <w:basedOn w:val="798"/>
    <w:next w:val="79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808"/>
    <w:link w:val="37"/>
    <w:uiPriority w:val="11"/>
    <w:rPr>
      <w:sz w:val="24"/>
      <w:szCs w:val="24"/>
    </w:rPr>
  </w:style>
  <w:style w:type="paragraph" w:styleId="39">
    <w:name w:val="Quote"/>
    <w:basedOn w:val="798"/>
    <w:next w:val="79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98"/>
    <w:next w:val="79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808"/>
    <w:link w:val="811"/>
    <w:uiPriority w:val="99"/>
  </w:style>
  <w:style w:type="character" w:styleId="46">
    <w:name w:val="Footer Char"/>
    <w:basedOn w:val="808"/>
    <w:link w:val="813"/>
    <w:uiPriority w:val="99"/>
  </w:style>
  <w:style w:type="paragraph" w:styleId="47">
    <w:name w:val="Caption"/>
    <w:basedOn w:val="798"/>
    <w:next w:val="79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808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8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8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80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8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8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8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8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8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8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8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8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8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79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808"/>
    <w:uiPriority w:val="99"/>
    <w:unhideWhenUsed/>
    <w:rPr>
      <w:vertAlign w:val="superscript"/>
    </w:rPr>
  </w:style>
  <w:style w:type="paragraph" w:styleId="179">
    <w:name w:val="endnote text"/>
    <w:basedOn w:val="79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808"/>
    <w:uiPriority w:val="99"/>
    <w:semiHidden/>
    <w:unhideWhenUsed/>
    <w:rPr>
      <w:vertAlign w:val="superscript"/>
    </w:rPr>
  </w:style>
  <w:style w:type="paragraph" w:styleId="185">
    <w:name w:val="toc 4"/>
    <w:basedOn w:val="798"/>
    <w:next w:val="79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98"/>
    <w:next w:val="79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98"/>
    <w:next w:val="79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98"/>
    <w:next w:val="79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98"/>
    <w:next w:val="79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98"/>
    <w:next w:val="79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98"/>
    <w:next w:val="798"/>
    <w:uiPriority w:val="99"/>
    <w:unhideWhenUsed/>
    <w:pPr>
      <w:spacing w:after="0" w:afterAutospacing="0"/>
    </w:pPr>
  </w:style>
  <w:style w:type="paragraph" w:styleId="798" w:default="1">
    <w:name w:val="Normal"/>
    <w:qFormat/>
    <w:pPr>
      <w:jc w:val="both"/>
    </w:pPr>
    <w:rPr>
      <w:rFonts w:ascii="Times New Roman" w:hAnsi="Times New Roman" w:cs="Times New Roman"/>
      <w:sz w:val="24"/>
      <w:szCs w:val="24"/>
    </w:rPr>
  </w:style>
  <w:style w:type="paragraph" w:styleId="799">
    <w:name w:val="Heading 1"/>
    <w:basedOn w:val="798"/>
    <w:next w:val="798"/>
    <w:link w:val="840"/>
    <w:uiPriority w:val="9"/>
    <w:qFormat/>
    <w:pPr>
      <w:numPr>
        <w:ilvl w:val="0"/>
        <w:numId w:val="1"/>
      </w:numPr>
      <w:ind w:left="425" w:hanging="425"/>
      <w:keepLines/>
      <w:keepNext/>
      <w:pageBreakBefore/>
      <w:spacing w:before="120" w:after="0" w:line="276" w:lineRule="auto"/>
      <w:tabs>
        <w:tab w:val="left" w:pos="1276" w:leader="none"/>
      </w:tabs>
      <w:outlineLvl w:val="0"/>
    </w:pPr>
    <w:rPr>
      <w:rFonts w:eastAsiaTheme="majorEastAsia"/>
      <w:b/>
      <w:sz w:val="32"/>
      <w:szCs w:val="32"/>
    </w:rPr>
  </w:style>
  <w:style w:type="paragraph" w:styleId="800">
    <w:name w:val="Heading 2"/>
    <w:basedOn w:val="798"/>
    <w:next w:val="798"/>
    <w:link w:val="842"/>
    <w:uiPriority w:val="9"/>
    <w:unhideWhenUsed/>
    <w:qFormat/>
    <w:pPr>
      <w:numPr>
        <w:ilvl w:val="1"/>
        <w:numId w:val="1"/>
      </w:numPr>
      <w:ind w:left="567"/>
      <w:keepLines/>
      <w:keepNext/>
      <w:spacing w:before="240" w:after="120" w:line="276" w:lineRule="auto"/>
      <w:outlineLvl w:val="1"/>
    </w:pPr>
    <w:rPr>
      <w:rFonts w:eastAsiaTheme="majorEastAsia"/>
      <w:b/>
      <w:sz w:val="28"/>
      <w:szCs w:val="28"/>
    </w:rPr>
  </w:style>
  <w:style w:type="paragraph" w:styleId="801">
    <w:name w:val="Heading 3"/>
    <w:basedOn w:val="798"/>
    <w:next w:val="798"/>
    <w:link w:val="843"/>
    <w:uiPriority w:val="9"/>
    <w:unhideWhenUsed/>
    <w:qFormat/>
    <w:pPr>
      <w:numPr>
        <w:ilvl w:val="2"/>
        <w:numId w:val="1"/>
      </w:numPr>
      <w:ind w:left="0" w:firstLine="0"/>
      <w:keepLines/>
      <w:keepNext/>
      <w:spacing w:before="240" w:after="120" w:line="276" w:lineRule="auto"/>
      <w:tabs>
        <w:tab w:val="left" w:pos="709" w:leader="none"/>
      </w:tabs>
      <w:outlineLvl w:val="2"/>
    </w:pPr>
    <w:rPr>
      <w:rFonts w:eastAsiaTheme="majorEastAsia"/>
      <w:b/>
    </w:rPr>
  </w:style>
  <w:style w:type="paragraph" w:styleId="802">
    <w:name w:val="Heading 4"/>
    <w:basedOn w:val="798"/>
    <w:next w:val="798"/>
    <w:link w:val="844"/>
    <w:uiPriority w:val="9"/>
    <w:unhideWhenUsed/>
    <w:qFormat/>
    <w:pPr>
      <w:numPr>
        <w:ilvl w:val="3"/>
        <w:numId w:val="1"/>
      </w:numPr>
      <w:ind w:left="1718" w:hanging="1009"/>
      <w:keepLines/>
      <w:keepNext/>
      <w:spacing w:before="240" w:after="120" w:line="276" w:lineRule="auto"/>
      <w:outlineLvl w:val="3"/>
    </w:pPr>
    <w:rPr>
      <w:rFonts w:ascii="Arial" w:hAnsi="Arial" w:cs="Arial" w:eastAsiaTheme="majorEastAsia"/>
      <w:b/>
      <w:iCs/>
    </w:rPr>
  </w:style>
  <w:style w:type="paragraph" w:styleId="803">
    <w:name w:val="Heading 5"/>
    <w:basedOn w:val="798"/>
    <w:next w:val="798"/>
    <w:link w:val="845"/>
    <w:uiPriority w:val="9"/>
    <w:unhideWhenUsed/>
    <w:qFormat/>
    <w:pPr>
      <w:numPr>
        <w:ilvl w:val="4"/>
        <w:numId w:val="1"/>
      </w:numPr>
      <w:keepLines/>
      <w:keepNext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804">
    <w:name w:val="Heading 6"/>
    <w:basedOn w:val="798"/>
    <w:next w:val="798"/>
    <w:link w:val="846"/>
    <w:unhideWhenUsed/>
    <w:qFormat/>
    <w:pPr>
      <w:numPr>
        <w:ilvl w:val="5"/>
        <w:numId w:val="1"/>
      </w:numPr>
      <w:keepLines/>
      <w:keepNext/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805">
    <w:name w:val="Heading 7"/>
    <w:basedOn w:val="798"/>
    <w:next w:val="798"/>
    <w:link w:val="847"/>
    <w:uiPriority w:val="9"/>
    <w:unhideWhenUsed/>
    <w:qFormat/>
    <w:pPr>
      <w:numPr>
        <w:ilvl w:val="6"/>
        <w:numId w:val="1"/>
      </w:numPr>
      <w:keepLines/>
      <w:keepNext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806">
    <w:name w:val="Heading 8"/>
    <w:basedOn w:val="798"/>
    <w:next w:val="798"/>
    <w:link w:val="848"/>
    <w:uiPriority w:val="9"/>
    <w:unhideWhenUsed/>
    <w:qFormat/>
    <w:pPr>
      <w:numPr>
        <w:ilvl w:val="7"/>
        <w:numId w:val="1"/>
      </w:numPr>
      <w:keepLines/>
      <w:keepNext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807">
    <w:name w:val="Heading 9"/>
    <w:basedOn w:val="798"/>
    <w:next w:val="798"/>
    <w:link w:val="849"/>
    <w:unhideWhenUsed/>
    <w:qFormat/>
    <w:pPr>
      <w:numPr>
        <w:ilvl w:val="8"/>
        <w:numId w:val="1"/>
      </w:numPr>
      <w:keepLines/>
      <w:keepNext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808" w:default="1">
    <w:name w:val="Default Paragraph Font"/>
    <w:uiPriority w:val="1"/>
    <w:semiHidden/>
    <w:unhideWhenUsed/>
  </w:style>
  <w:style w:type="table" w:styleId="8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0" w:default="1">
    <w:name w:val="No List"/>
    <w:uiPriority w:val="99"/>
    <w:semiHidden/>
    <w:unhideWhenUsed/>
  </w:style>
  <w:style w:type="paragraph" w:styleId="811">
    <w:name w:val="Header"/>
    <w:basedOn w:val="798"/>
    <w:link w:val="812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12" w:customStyle="1">
    <w:name w:val="Верхний колонтитул Знак"/>
    <w:basedOn w:val="808"/>
    <w:link w:val="811"/>
    <w:rPr>
      <w:rFonts w:ascii="Times New Roman" w:hAnsi="Times New Roman" w:cs="Times New Roman"/>
      <w:sz w:val="24"/>
      <w:szCs w:val="24"/>
    </w:rPr>
  </w:style>
  <w:style w:type="paragraph" w:styleId="813">
    <w:name w:val="Footer"/>
    <w:basedOn w:val="798"/>
    <w:link w:val="81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14" w:customStyle="1">
    <w:name w:val="Нижний колонтитул Знак"/>
    <w:basedOn w:val="808"/>
    <w:link w:val="813"/>
    <w:uiPriority w:val="99"/>
    <w:rPr>
      <w:rFonts w:ascii="Times New Roman" w:hAnsi="Times New Roman" w:cs="Times New Roman"/>
      <w:sz w:val="24"/>
      <w:szCs w:val="24"/>
    </w:rPr>
  </w:style>
  <w:style w:type="character" w:styleId="815">
    <w:name w:val="Placeholder Text"/>
    <w:basedOn w:val="808"/>
    <w:uiPriority w:val="99"/>
    <w:semiHidden/>
    <w:rPr>
      <w:color w:val="808080"/>
    </w:rPr>
  </w:style>
  <w:style w:type="character" w:styleId="816">
    <w:name w:val="Strong"/>
    <w:basedOn w:val="808"/>
    <w:uiPriority w:val="22"/>
    <w:qFormat/>
    <w:rPr>
      <w:rFonts w:ascii="Arial" w:hAnsi="Arial" w:cs="Arial"/>
      <w:b/>
      <w:bCs/>
      <w:smallCaps/>
      <w:sz w:val="22"/>
    </w:rPr>
  </w:style>
  <w:style w:type="table" w:styleId="817">
    <w:name w:val="Table Grid"/>
    <w:basedOn w:val="80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18" w:customStyle="1">
    <w:name w:val="[Doc] Колонтитул_4"/>
    <w:basedOn w:val="798"/>
    <w:link w:val="819"/>
    <w:pPr>
      <w:spacing w:after="40" w:line="240" w:lineRule="auto"/>
    </w:pPr>
    <w:rPr>
      <w:rFonts w:ascii="Arial" w:hAnsi="Arial" w:eastAsia="Calibri"/>
      <w:sz w:val="18"/>
      <w:szCs w:val="22"/>
      <w:lang w:val="en-US"/>
    </w:rPr>
  </w:style>
  <w:style w:type="character" w:styleId="819" w:customStyle="1">
    <w:name w:val="[Doc] Колонтитул_4 Знак"/>
    <w:link w:val="818"/>
    <w:rPr>
      <w:rFonts w:ascii="Arial" w:hAnsi="Arial" w:eastAsia="Calibri" w:cs="Times New Roman"/>
      <w:sz w:val="18"/>
      <w:lang w:val="en-US"/>
    </w:rPr>
  </w:style>
  <w:style w:type="paragraph" w:styleId="820" w:customStyle="1">
    <w:name w:val="[Doc] Колонтитул_нормер_док"/>
    <w:basedOn w:val="818"/>
    <w:link w:val="821"/>
    <w:pPr>
      <w:jc w:val="right"/>
    </w:pPr>
  </w:style>
  <w:style w:type="character" w:styleId="821" w:customStyle="1">
    <w:name w:val="[Doc] Колонтитул_нормер_док Знак"/>
    <w:link w:val="820"/>
    <w:rPr>
      <w:rFonts w:ascii="Arial" w:hAnsi="Arial" w:eastAsia="Calibri" w:cs="Times New Roman"/>
      <w:sz w:val="18"/>
      <w:lang w:val="en-US"/>
    </w:rPr>
  </w:style>
  <w:style w:type="paragraph" w:styleId="822" w:customStyle="1">
    <w:name w:val="Нижний колонтитул_1"/>
    <w:basedOn w:val="798"/>
    <w:link w:val="823"/>
    <w:uiPriority w:val="99"/>
    <w:pPr>
      <w:spacing w:after="0" w:line="276" w:lineRule="auto"/>
    </w:pPr>
    <w:rPr>
      <w:rFonts w:ascii="Arial" w:hAnsi="Arial" w:eastAsia="Calibri"/>
      <w:sz w:val="16"/>
      <w:szCs w:val="16"/>
      <w:lang w:val="en-US"/>
    </w:rPr>
  </w:style>
  <w:style w:type="character" w:styleId="823" w:customStyle="1">
    <w:name w:val="Нижний колонтитул_1 Знак"/>
    <w:link w:val="822"/>
    <w:uiPriority w:val="99"/>
    <w:rPr>
      <w:rFonts w:ascii="Arial" w:hAnsi="Arial" w:eastAsia="Calibri" w:cs="Times New Roman"/>
      <w:sz w:val="16"/>
      <w:szCs w:val="16"/>
      <w:lang w:val="en-US"/>
    </w:rPr>
  </w:style>
  <w:style w:type="paragraph" w:styleId="824" w:customStyle="1">
    <w:name w:val="Нижний колонтитул_заполнение"/>
    <w:basedOn w:val="798"/>
    <w:link w:val="825"/>
    <w:uiPriority w:val="99"/>
    <w:pPr>
      <w:spacing w:before="20" w:after="60" w:line="240" w:lineRule="auto"/>
    </w:pPr>
    <w:rPr>
      <w:rFonts w:ascii="Arial" w:hAnsi="Arial" w:eastAsia="Calibri"/>
      <w:sz w:val="20"/>
      <w:szCs w:val="20"/>
    </w:rPr>
  </w:style>
  <w:style w:type="character" w:styleId="825" w:customStyle="1">
    <w:name w:val="Нижний колонтитул_заполнение Знак"/>
    <w:link w:val="824"/>
    <w:uiPriority w:val="99"/>
    <w:rPr>
      <w:rFonts w:ascii="Arial" w:hAnsi="Arial" w:eastAsia="Calibri" w:cs="Times New Roman"/>
      <w:sz w:val="20"/>
      <w:szCs w:val="20"/>
    </w:rPr>
  </w:style>
  <w:style w:type="paragraph" w:styleId="826" w:customStyle="1">
    <w:name w:val="[Doc] Колонтитул_1"/>
    <w:basedOn w:val="811"/>
    <w:link w:val="828"/>
    <w:uiPriority w:val="99"/>
    <w:pPr>
      <w:spacing w:after="20" w:line="276" w:lineRule="auto"/>
    </w:pPr>
    <w:rPr>
      <w:rFonts w:ascii="Arial" w:hAnsi="Arial" w:eastAsia="Calibri"/>
      <w:i/>
      <w:iCs/>
      <w:sz w:val="14"/>
      <w:szCs w:val="14"/>
    </w:rPr>
  </w:style>
  <w:style w:type="paragraph" w:styleId="827" w:customStyle="1">
    <w:name w:val="[Doc] Колонтитул_2"/>
    <w:basedOn w:val="826"/>
    <w:link w:val="829"/>
    <w:uiPriority w:val="99"/>
    <w:pPr>
      <w:spacing w:before="40"/>
    </w:pPr>
    <w:rPr>
      <w:sz w:val="16"/>
      <w:szCs w:val="16"/>
    </w:rPr>
  </w:style>
  <w:style w:type="character" w:styleId="828" w:customStyle="1">
    <w:name w:val="[Doc] Колонтитул_1 Знак"/>
    <w:link w:val="826"/>
    <w:uiPriority w:val="99"/>
    <w:rPr>
      <w:rFonts w:ascii="Arial" w:hAnsi="Arial" w:eastAsia="Calibri" w:cs="Times New Roman"/>
      <w:i/>
      <w:iCs/>
      <w:sz w:val="14"/>
      <w:szCs w:val="14"/>
    </w:rPr>
  </w:style>
  <w:style w:type="character" w:styleId="829" w:customStyle="1">
    <w:name w:val="[Doc] Колонтитул_2 Знак"/>
    <w:link w:val="827"/>
    <w:uiPriority w:val="99"/>
    <w:rPr>
      <w:rFonts w:ascii="Arial" w:hAnsi="Arial" w:eastAsia="Calibri" w:cs="Times New Roman"/>
      <w:i/>
      <w:iCs/>
      <w:sz w:val="16"/>
      <w:szCs w:val="16"/>
    </w:rPr>
  </w:style>
  <w:style w:type="paragraph" w:styleId="830" w:customStyle="1">
    <w:name w:val="[Doc] Title_table"/>
    <w:basedOn w:val="798"/>
    <w:link w:val="831"/>
    <w:uiPriority w:val="99"/>
    <w:pPr>
      <w:jc w:val="center"/>
      <w:keepLines/>
      <w:spacing w:before="60" w:after="40" w:line="276" w:lineRule="auto"/>
      <w:widowControl w:val="off"/>
      <w:framePr w:hSpace="180" w:wrap="auto" w:vAnchor="text" w:hAnchor="text" w:x="108" w:y="1"/>
    </w:pPr>
    <w:rPr>
      <w:rFonts w:ascii="Arial" w:hAnsi="Arial" w:eastAsia="Calibri"/>
      <w:b/>
      <w:bCs/>
      <w:sz w:val="20"/>
      <w:szCs w:val="20"/>
      <w:lang w:val="en-GB" w:eastAsia="zh-CN"/>
    </w:rPr>
  </w:style>
  <w:style w:type="character" w:styleId="831" w:customStyle="1">
    <w:name w:val="[Doc] Title_table Знак"/>
    <w:link w:val="830"/>
    <w:uiPriority w:val="99"/>
    <w:rPr>
      <w:rFonts w:ascii="Arial" w:hAnsi="Arial" w:eastAsia="Calibri" w:cs="Times New Roman"/>
      <w:b/>
      <w:bCs/>
      <w:sz w:val="20"/>
      <w:szCs w:val="20"/>
      <w:lang w:val="en-GB" w:eastAsia="zh-CN"/>
    </w:rPr>
  </w:style>
  <w:style w:type="character" w:styleId="832">
    <w:name w:val="Emphasis"/>
    <w:uiPriority w:val="20"/>
    <w:rPr>
      <w:rFonts w:ascii="Arial" w:hAnsi="Arial" w:cs="Arial"/>
      <w:b/>
      <w:sz w:val="28"/>
    </w:rPr>
  </w:style>
  <w:style w:type="paragraph" w:styleId="833" w:customStyle="1">
    <w:name w:val="[Doc] Шапка таблицы"/>
    <w:basedOn w:val="798"/>
    <w:link w:val="834"/>
    <w:pPr>
      <w:jc w:val="center"/>
      <w:spacing w:before="60" w:after="60" w:line="276" w:lineRule="auto"/>
    </w:pPr>
    <w:rPr>
      <w:rFonts w:ascii="Arial" w:hAnsi="Arial" w:eastAsia="Calibri" w:cs="Arial"/>
      <w:b/>
      <w:bCs/>
      <w:sz w:val="16"/>
      <w:lang w:val="en-GB" w:eastAsia="ru-RU"/>
    </w:rPr>
  </w:style>
  <w:style w:type="character" w:styleId="834" w:customStyle="1">
    <w:name w:val="[Doc] Шапка таблицы Знак"/>
    <w:link w:val="833"/>
    <w:rPr>
      <w:rFonts w:ascii="Arial" w:hAnsi="Arial" w:eastAsia="Calibri" w:cs="Arial"/>
      <w:b/>
      <w:bCs/>
      <w:sz w:val="16"/>
      <w:szCs w:val="24"/>
      <w:lang w:val="en-GB" w:eastAsia="ru-RU"/>
    </w:rPr>
  </w:style>
  <w:style w:type="paragraph" w:styleId="835" w:customStyle="1">
    <w:name w:val="[Doc] Таблица 3"/>
    <w:basedOn w:val="798"/>
    <w:link w:val="836"/>
    <w:pPr>
      <w:spacing w:after="0" w:line="276" w:lineRule="auto"/>
    </w:pPr>
    <w:rPr>
      <w:rFonts w:ascii="Arial" w:hAnsi="Arial" w:eastAsia="Calibri" w:cs="Arial"/>
      <w:spacing w:val="-2"/>
      <w:sz w:val="20"/>
      <w:szCs w:val="20"/>
      <w:lang w:val="en-US" w:eastAsia="ru-RU"/>
    </w:rPr>
  </w:style>
  <w:style w:type="character" w:styleId="836" w:customStyle="1">
    <w:name w:val="[Doc] Таблица 3 Знак"/>
    <w:link w:val="835"/>
    <w:rPr>
      <w:rFonts w:ascii="Arial" w:hAnsi="Arial" w:eastAsia="Calibri" w:cs="Arial"/>
      <w:spacing w:val="-2"/>
      <w:sz w:val="20"/>
      <w:szCs w:val="20"/>
      <w:lang w:val="en-US" w:eastAsia="ru-RU"/>
    </w:rPr>
  </w:style>
  <w:style w:type="paragraph" w:styleId="837" w:customStyle="1">
    <w:name w:val="[D] Текст без отступа"/>
    <w:basedOn w:val="798"/>
    <w:link w:val="839"/>
    <w:qFormat/>
    <w:pPr>
      <w:spacing w:before="60" w:after="60" w:line="360" w:lineRule="auto"/>
    </w:pPr>
    <w:rPr>
      <w:sz w:val="28"/>
      <w:szCs w:val="28"/>
    </w:rPr>
  </w:style>
  <w:style w:type="paragraph" w:styleId="838" w:customStyle="1">
    <w:name w:val="[D] Текст абзац"/>
    <w:basedOn w:val="837"/>
    <w:link w:val="841"/>
    <w:qFormat/>
    <w:pPr>
      <w:ind w:firstLine="709"/>
    </w:pPr>
  </w:style>
  <w:style w:type="character" w:styleId="839" w:customStyle="1">
    <w:name w:val="[D] Текст без отступа Знак"/>
    <w:basedOn w:val="808"/>
    <w:link w:val="837"/>
    <w:rPr>
      <w:rFonts w:ascii="Times New Roman" w:hAnsi="Times New Roman" w:cs="Times New Roman"/>
      <w:sz w:val="28"/>
      <w:szCs w:val="28"/>
    </w:rPr>
  </w:style>
  <w:style w:type="character" w:styleId="840" w:customStyle="1">
    <w:name w:val="Заголовок 1 Знак"/>
    <w:basedOn w:val="808"/>
    <w:link w:val="799"/>
    <w:uiPriority w:val="9"/>
    <w:rPr>
      <w:rFonts w:ascii="Times New Roman" w:hAnsi="Times New Roman" w:cs="Times New Roman" w:eastAsiaTheme="majorEastAsia"/>
      <w:b/>
      <w:sz w:val="32"/>
      <w:szCs w:val="32"/>
    </w:rPr>
  </w:style>
  <w:style w:type="character" w:styleId="841" w:customStyle="1">
    <w:name w:val="[D] Текст абзац Знак"/>
    <w:basedOn w:val="839"/>
    <w:link w:val="838"/>
    <w:rPr>
      <w:rFonts w:ascii="Times New Roman" w:hAnsi="Times New Roman" w:cs="Times New Roman"/>
      <w:sz w:val="24"/>
      <w:szCs w:val="24"/>
    </w:rPr>
  </w:style>
  <w:style w:type="character" w:styleId="842" w:customStyle="1">
    <w:name w:val="Заголовок 2 Знак"/>
    <w:basedOn w:val="808"/>
    <w:link w:val="800"/>
    <w:uiPriority w:val="9"/>
    <w:rPr>
      <w:rFonts w:ascii="Times New Roman" w:hAnsi="Times New Roman" w:cs="Times New Roman" w:eastAsiaTheme="majorEastAsia"/>
      <w:b/>
      <w:sz w:val="28"/>
      <w:szCs w:val="28"/>
    </w:rPr>
  </w:style>
  <w:style w:type="character" w:styleId="843" w:customStyle="1">
    <w:name w:val="Заголовок 3 Знак"/>
    <w:basedOn w:val="808"/>
    <w:link w:val="801"/>
    <w:uiPriority w:val="9"/>
    <w:rPr>
      <w:rFonts w:ascii="Times New Roman" w:hAnsi="Times New Roman" w:cs="Times New Roman" w:eastAsiaTheme="majorEastAsia"/>
      <w:b/>
      <w:sz w:val="24"/>
      <w:szCs w:val="24"/>
    </w:rPr>
  </w:style>
  <w:style w:type="character" w:styleId="844" w:customStyle="1">
    <w:name w:val="Заголовок 4 Знак"/>
    <w:basedOn w:val="808"/>
    <w:link w:val="802"/>
    <w:uiPriority w:val="9"/>
    <w:rPr>
      <w:rFonts w:ascii="Arial" w:hAnsi="Arial" w:cs="Arial" w:eastAsiaTheme="majorEastAsia"/>
      <w:b/>
      <w:iCs/>
      <w:sz w:val="24"/>
      <w:szCs w:val="24"/>
    </w:rPr>
  </w:style>
  <w:style w:type="character" w:styleId="845" w:customStyle="1">
    <w:name w:val="Заголовок 5 Знак"/>
    <w:basedOn w:val="808"/>
    <w:link w:val="803"/>
    <w:uiPriority w:val="9"/>
    <w:rPr>
      <w:rFonts w:asciiTheme="majorHAnsi" w:hAnsiTheme="majorHAnsi" w:eastAsiaTheme="majorEastAsia" w:cstheme="majorBidi"/>
      <w:color w:val="2e74b5" w:themeColor="accent1" w:themeShade="BF"/>
      <w:sz w:val="24"/>
      <w:szCs w:val="24"/>
    </w:rPr>
  </w:style>
  <w:style w:type="character" w:styleId="846" w:customStyle="1">
    <w:name w:val="Заголовок 6 Знак"/>
    <w:basedOn w:val="808"/>
    <w:link w:val="804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847" w:customStyle="1">
    <w:name w:val="Заголовок 7 Знак"/>
    <w:basedOn w:val="808"/>
    <w:link w:val="805"/>
    <w:uiPriority w:val="9"/>
    <w:rPr>
      <w:rFonts w:asciiTheme="majorHAnsi" w:hAnsiTheme="majorHAnsi" w:eastAsiaTheme="majorEastAsia" w:cstheme="majorBidi"/>
      <w:i/>
      <w:iCs/>
      <w:color w:val="1f4d78" w:themeColor="accent1" w:themeShade="7F"/>
      <w:sz w:val="24"/>
      <w:szCs w:val="24"/>
    </w:rPr>
  </w:style>
  <w:style w:type="character" w:styleId="848" w:customStyle="1">
    <w:name w:val="Заголовок 8 Знак"/>
    <w:basedOn w:val="808"/>
    <w:link w:val="806"/>
    <w:uiPriority w:val="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849" w:customStyle="1">
    <w:name w:val="Заголовок 9 Знак"/>
    <w:basedOn w:val="808"/>
    <w:link w:val="807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850" w:customStyle="1">
    <w:name w:val="[D] Заглавие с новой строки"/>
    <w:basedOn w:val="798"/>
    <w:link w:val="852"/>
    <w:pPr>
      <w:jc w:val="center"/>
      <w:pageBreakBefore/>
    </w:pPr>
    <w:rPr>
      <w:szCs w:val="28"/>
    </w:rPr>
  </w:style>
  <w:style w:type="paragraph" w:styleId="851" w:customStyle="1">
    <w:name w:val="[D] Строгий"/>
    <w:basedOn w:val="798"/>
    <w:link w:val="854"/>
    <w:qFormat/>
    <w:pPr>
      <w:ind w:left="567" w:hanging="141"/>
    </w:pPr>
    <w:rPr>
      <w:bCs/>
      <w:sz w:val="28"/>
      <w:szCs w:val="28"/>
      <w:lang w:val="en-US"/>
    </w:rPr>
  </w:style>
  <w:style w:type="character" w:styleId="852" w:customStyle="1">
    <w:name w:val="[D] Заглавие с новой строки Знак"/>
    <w:basedOn w:val="808"/>
    <w:link w:val="850"/>
    <w:rPr>
      <w:rFonts w:ascii="Times New Roman" w:hAnsi="Times New Roman" w:cs="Times New Roman"/>
      <w:sz w:val="24"/>
      <w:szCs w:val="28"/>
    </w:rPr>
  </w:style>
  <w:style w:type="paragraph" w:styleId="853" w:customStyle="1">
    <w:name w:val="D_Текст без отступа"/>
    <w:basedOn w:val="798"/>
    <w:link w:val="855"/>
    <w:qFormat/>
    <w:pPr>
      <w:spacing w:after="60" w:line="276" w:lineRule="auto"/>
    </w:pPr>
    <w:rPr>
      <w:rFonts w:eastAsia="Times New Roman"/>
      <w:sz w:val="26"/>
      <w:szCs w:val="26"/>
    </w:rPr>
  </w:style>
  <w:style w:type="character" w:styleId="854" w:customStyle="1">
    <w:name w:val="[D] Строгий Знак"/>
    <w:basedOn w:val="852"/>
    <w:link w:val="851"/>
    <w:rPr>
      <w:rFonts w:ascii="Times New Roman" w:hAnsi="Times New Roman" w:cs="Times New Roman"/>
      <w:bCs/>
      <w:sz w:val="28"/>
      <w:szCs w:val="28"/>
      <w:lang w:val="en-US"/>
    </w:rPr>
  </w:style>
  <w:style w:type="character" w:styleId="855" w:customStyle="1">
    <w:name w:val="D_Текст без отступа Знак"/>
    <w:link w:val="853"/>
    <w:rPr>
      <w:rFonts w:ascii="Times New Roman" w:hAnsi="Times New Roman" w:eastAsia="Times New Roman" w:cs="Times New Roman"/>
      <w:sz w:val="26"/>
      <w:szCs w:val="26"/>
    </w:rPr>
  </w:style>
  <w:style w:type="paragraph" w:styleId="856" w:customStyle="1">
    <w:name w:val="[D] Нормативные ссылки"/>
    <w:basedOn w:val="853"/>
    <w:link w:val="857"/>
    <w:qFormat/>
    <w:pPr>
      <w:numPr>
        <w:ilvl w:val="0"/>
        <w:numId w:val="2"/>
      </w:numPr>
      <w:ind w:left="709" w:hanging="567"/>
      <w:tabs>
        <w:tab w:val="left" w:pos="709" w:leader="none"/>
      </w:tabs>
    </w:pPr>
    <w:rPr>
      <w:sz w:val="24"/>
      <w:szCs w:val="24"/>
    </w:rPr>
  </w:style>
  <w:style w:type="character" w:styleId="857" w:customStyle="1">
    <w:name w:val="[D] Нормативные ссылки Знак"/>
    <w:link w:val="856"/>
    <w:rPr>
      <w:rFonts w:ascii="Times New Roman" w:hAnsi="Times New Roman" w:eastAsia="Times New Roman" w:cs="Times New Roman"/>
      <w:sz w:val="24"/>
      <w:szCs w:val="24"/>
    </w:rPr>
  </w:style>
  <w:style w:type="paragraph" w:styleId="858" w:customStyle="1">
    <w:name w:val="[D] Текст уровень 2"/>
    <w:basedOn w:val="800"/>
    <w:link w:val="860"/>
    <w:qFormat/>
    <w:pPr>
      <w:ind w:left="0" w:firstLine="0"/>
      <w:keepLines w:val="0"/>
      <w:keepNext w:val="0"/>
      <w:spacing w:before="120" w:line="360" w:lineRule="auto"/>
      <w:tabs>
        <w:tab w:val="left" w:pos="709" w:leader="none"/>
      </w:tabs>
    </w:pPr>
    <w:rPr>
      <w:b w:val="0"/>
      <w:sz w:val="24"/>
    </w:rPr>
  </w:style>
  <w:style w:type="paragraph" w:styleId="859" w:customStyle="1">
    <w:name w:val="[D] Текст уровень 3"/>
    <w:basedOn w:val="801"/>
    <w:link w:val="862"/>
    <w:qFormat/>
    <w:pPr>
      <w:keepLines w:val="0"/>
      <w:keepNext w:val="0"/>
      <w:spacing w:before="0" w:line="360" w:lineRule="auto"/>
      <w:tabs>
        <w:tab w:val="left" w:pos="993" w:leader="none"/>
      </w:tabs>
    </w:pPr>
    <w:rPr>
      <w:b w:val="0"/>
      <w:szCs w:val="28"/>
    </w:rPr>
  </w:style>
  <w:style w:type="character" w:styleId="860" w:customStyle="1">
    <w:name w:val="[D] Текст уровень 2 Знак"/>
    <w:basedOn w:val="842"/>
    <w:link w:val="858"/>
    <w:rPr>
      <w:rFonts w:ascii="Times New Roman" w:hAnsi="Times New Roman" w:cs="Times New Roman" w:eastAsiaTheme="majorEastAsia"/>
      <w:b w:val="0"/>
      <w:sz w:val="24"/>
      <w:szCs w:val="28"/>
    </w:rPr>
  </w:style>
  <w:style w:type="paragraph" w:styleId="861" w:customStyle="1">
    <w:name w:val="[D] Текст уровень 4"/>
    <w:basedOn w:val="802"/>
    <w:link w:val="864"/>
    <w:qFormat/>
    <w:pPr>
      <w:ind w:left="0" w:firstLine="709"/>
      <w:keepLines w:val="0"/>
      <w:keepNext w:val="0"/>
      <w:spacing w:before="0"/>
      <w:tabs>
        <w:tab w:val="left" w:pos="1560" w:leader="none"/>
      </w:tabs>
    </w:pPr>
    <w:rPr>
      <w:rFonts w:ascii="Times New Roman" w:hAnsi="Times New Roman" w:cs="Times New Roman"/>
      <w:b w:val="0"/>
    </w:rPr>
  </w:style>
  <w:style w:type="character" w:styleId="862" w:customStyle="1">
    <w:name w:val="[D] Текст уровень 3 Знак"/>
    <w:basedOn w:val="843"/>
    <w:link w:val="859"/>
    <w:rPr>
      <w:rFonts w:ascii="Times New Roman" w:hAnsi="Times New Roman" w:cs="Times New Roman" w:eastAsiaTheme="majorEastAsia"/>
      <w:b w:val="0"/>
      <w:sz w:val="24"/>
      <w:szCs w:val="28"/>
    </w:rPr>
  </w:style>
  <w:style w:type="paragraph" w:styleId="863" w:customStyle="1">
    <w:name w:val="[D] Тескт уровень 5"/>
    <w:basedOn w:val="803"/>
    <w:link w:val="866"/>
    <w:qFormat/>
    <w:pPr>
      <w:ind w:left="0" w:firstLine="709"/>
      <w:keepLines w:val="0"/>
      <w:keepNext w:val="0"/>
      <w:spacing w:before="0" w:after="60" w:line="276" w:lineRule="auto"/>
      <w:tabs>
        <w:tab w:val="left" w:pos="1701" w:leader="none"/>
      </w:tabs>
    </w:pPr>
    <w:rPr>
      <w:rFonts w:ascii="Times New Roman" w:hAnsi="Times New Roman" w:cs="Times New Roman"/>
      <w:color w:val="auto"/>
    </w:rPr>
  </w:style>
  <w:style w:type="character" w:styleId="864" w:customStyle="1">
    <w:name w:val="[D] Текст уровень 4 Знак"/>
    <w:basedOn w:val="844"/>
    <w:link w:val="861"/>
    <w:rPr>
      <w:rFonts w:ascii="Times New Roman" w:hAnsi="Times New Roman" w:cs="Times New Roman" w:eastAsiaTheme="majorEastAsia"/>
      <w:b w:val="0"/>
      <w:iCs/>
      <w:sz w:val="24"/>
      <w:szCs w:val="24"/>
    </w:rPr>
  </w:style>
  <w:style w:type="paragraph" w:styleId="865" w:customStyle="1">
    <w:name w:val="[D] Перечисление 1"/>
    <w:basedOn w:val="859"/>
    <w:link w:val="868"/>
    <w:qFormat/>
    <w:pPr>
      <w:numPr>
        <w:ilvl w:val="0"/>
        <w:numId w:val="3"/>
      </w:numPr>
      <w:ind w:left="993" w:hanging="426"/>
      <w:spacing w:after="60"/>
    </w:pPr>
  </w:style>
  <w:style w:type="character" w:styleId="866" w:customStyle="1">
    <w:name w:val="[D] Тескт уровень 5 Знак"/>
    <w:basedOn w:val="845"/>
    <w:link w:val="863"/>
    <w:rPr>
      <w:rFonts w:ascii="Times New Roman" w:hAnsi="Times New Roman" w:cs="Times New Roman" w:eastAsiaTheme="majorEastAsia"/>
      <w:color w:val="2e74b5" w:themeColor="accent1" w:themeShade="BF"/>
      <w:sz w:val="24"/>
      <w:szCs w:val="24"/>
    </w:rPr>
  </w:style>
  <w:style w:type="paragraph" w:styleId="867" w:customStyle="1">
    <w:name w:val="[D] Перечисление 2"/>
    <w:basedOn w:val="859"/>
    <w:link w:val="870"/>
    <w:qFormat/>
    <w:pPr>
      <w:numPr>
        <w:ilvl w:val="0"/>
        <w:numId w:val="4"/>
      </w:numPr>
      <w:ind w:left="993" w:hanging="426"/>
    </w:pPr>
  </w:style>
  <w:style w:type="character" w:styleId="868" w:customStyle="1">
    <w:name w:val="[D] Перечисление 1 Знак"/>
    <w:basedOn w:val="862"/>
    <w:link w:val="865"/>
    <w:rPr>
      <w:rFonts w:ascii="Times New Roman" w:hAnsi="Times New Roman" w:cs="Times New Roman" w:eastAsiaTheme="majorEastAsia"/>
      <w:b w:val="0"/>
      <w:sz w:val="28"/>
      <w:szCs w:val="28"/>
    </w:rPr>
  </w:style>
  <w:style w:type="paragraph" w:styleId="869">
    <w:name w:val="toc 1"/>
    <w:basedOn w:val="798"/>
    <w:next w:val="798"/>
    <w:uiPriority w:val="39"/>
    <w:unhideWhenUsed/>
    <w:pPr>
      <w:ind w:left="170"/>
      <w:spacing w:after="0" w:line="360" w:lineRule="auto"/>
      <w:tabs>
        <w:tab w:val="left" w:pos="440" w:leader="none"/>
        <w:tab w:val="right" w:pos="9911" w:leader="dot"/>
      </w:tabs>
    </w:pPr>
    <w:rPr>
      <w:b/>
    </w:rPr>
  </w:style>
  <w:style w:type="character" w:styleId="870" w:customStyle="1">
    <w:name w:val="[D] Перечисление 2 Знак"/>
    <w:basedOn w:val="862"/>
    <w:link w:val="867"/>
    <w:rPr>
      <w:rFonts w:ascii="Times New Roman" w:hAnsi="Times New Roman" w:cs="Times New Roman" w:eastAsiaTheme="majorEastAsia"/>
      <w:b w:val="0"/>
      <w:sz w:val="28"/>
      <w:szCs w:val="28"/>
    </w:rPr>
  </w:style>
  <w:style w:type="paragraph" w:styleId="871">
    <w:name w:val="toc 2"/>
    <w:basedOn w:val="798"/>
    <w:next w:val="798"/>
    <w:uiPriority w:val="39"/>
    <w:unhideWhenUsed/>
    <w:pPr>
      <w:ind w:left="170"/>
      <w:spacing w:after="0" w:line="360" w:lineRule="auto"/>
    </w:pPr>
  </w:style>
  <w:style w:type="paragraph" w:styleId="872">
    <w:name w:val="toc 3"/>
    <w:basedOn w:val="798"/>
    <w:next w:val="798"/>
    <w:uiPriority w:val="39"/>
    <w:unhideWhenUsed/>
    <w:pPr>
      <w:ind w:left="480"/>
      <w:spacing w:after="100"/>
    </w:pPr>
  </w:style>
  <w:style w:type="character" w:styleId="873">
    <w:name w:val="Hyperlink"/>
    <w:basedOn w:val="808"/>
    <w:uiPriority w:val="99"/>
    <w:unhideWhenUsed/>
    <w:rPr>
      <w:color w:val="0563c1" w:themeColor="hyperlink"/>
      <w:u w:val="single"/>
    </w:rPr>
  </w:style>
  <w:style w:type="paragraph" w:styleId="874">
    <w:name w:val="List Paragraph"/>
    <w:basedOn w:val="798"/>
    <w:uiPriority w:val="34"/>
    <w:qFormat/>
    <w:pPr>
      <w:contextualSpacing/>
      <w:ind w:left="720"/>
    </w:pPr>
  </w:style>
  <w:style w:type="paragraph" w:styleId="875">
    <w:name w:val="Body Text 3"/>
    <w:basedOn w:val="798"/>
    <w:link w:val="876"/>
    <w:pPr>
      <w:spacing w:after="120" w:line="240" w:lineRule="auto"/>
    </w:pPr>
    <w:rPr>
      <w:rFonts w:eastAsia="Times New Roman"/>
      <w:sz w:val="16"/>
      <w:szCs w:val="16"/>
      <w:lang w:eastAsia="ru-RU"/>
    </w:rPr>
  </w:style>
  <w:style w:type="character" w:styleId="876" w:customStyle="1">
    <w:name w:val="Основной текст 3 Знак"/>
    <w:basedOn w:val="808"/>
    <w:link w:val="87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877" w:customStyle="1">
    <w:name w:val="Основний текст_"/>
    <w:link w:val="878"/>
    <w:rPr>
      <w:rFonts w:ascii="Microsoft Sans Serif" w:hAnsi="Microsoft Sans Serif"/>
      <w:sz w:val="19"/>
      <w:szCs w:val="19"/>
      <w:shd w:val="clear" w:color="auto" w:fill="ffffff"/>
    </w:rPr>
  </w:style>
  <w:style w:type="paragraph" w:styleId="878" w:customStyle="1">
    <w:name w:val="Основний текст1"/>
    <w:basedOn w:val="798"/>
    <w:link w:val="877"/>
    <w:pPr>
      <w:ind w:hanging="360"/>
      <w:jc w:val="center"/>
      <w:spacing w:before="180" w:after="0" w:line="230" w:lineRule="exact"/>
      <w:shd w:val="clear" w:color="auto" w:fill="ffffff"/>
      <w:widowControl w:val="off"/>
    </w:pPr>
    <w:rPr>
      <w:rFonts w:ascii="Microsoft Sans Serif" w:hAnsi="Microsoft Sans Serif" w:cstheme="minorBidi"/>
      <w:sz w:val="19"/>
      <w:szCs w:val="19"/>
      <w:shd w:val="clear" w:color="auto" w:fill="ffffff"/>
    </w:rPr>
  </w:style>
  <w:style w:type="paragraph" w:styleId="879" w:customStyle="1">
    <w:name w:val="D_Текст без абзаца"/>
    <w:basedOn w:val="798"/>
    <w:link w:val="880"/>
    <w:qFormat/>
    <w:pPr>
      <w:spacing w:after="0" w:line="360" w:lineRule="auto"/>
    </w:pPr>
    <w:rPr>
      <w:rFonts w:ascii="Bahnschrift Light SemiCondensed" w:hAnsi="Bahnschrift Light SemiCondensed"/>
      <w:sz w:val="28"/>
      <w:szCs w:val="22"/>
      <w:lang w:eastAsia="ar-SA"/>
    </w:rPr>
  </w:style>
  <w:style w:type="character" w:styleId="880" w:customStyle="1">
    <w:name w:val="D_Текст без абзаца Знак"/>
    <w:basedOn w:val="808"/>
    <w:link w:val="879"/>
    <w:rPr>
      <w:rFonts w:ascii="Bahnschrift Light SemiCondensed" w:hAnsi="Bahnschrift Light SemiCondensed" w:cs="Times New Roman"/>
      <w:sz w:val="28"/>
      <w:lang w:eastAsia="ar-SA"/>
    </w:rPr>
  </w:style>
  <w:style w:type="paragraph" w:styleId="881">
    <w:name w:val="Balloon Text"/>
    <w:basedOn w:val="798"/>
    <w:link w:val="88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2" w:customStyle="1">
    <w:name w:val="Текст выноски Знак"/>
    <w:basedOn w:val="808"/>
    <w:link w:val="881"/>
    <w:uiPriority w:val="99"/>
    <w:semiHidden/>
    <w:rPr>
      <w:rFonts w:ascii="Segoe UI" w:hAnsi="Segoe UI" w:cs="Segoe UI"/>
      <w:sz w:val="18"/>
      <w:szCs w:val="18"/>
    </w:rPr>
  </w:style>
  <w:style w:type="character" w:styleId="883" w:customStyle="1">
    <w:name w:val="Неразрешенное упоминание1"/>
    <w:basedOn w:val="808"/>
    <w:uiPriority w:val="99"/>
    <w:semiHidden/>
    <w:unhideWhenUsed/>
    <w:rPr>
      <w:color w:val="605e5c"/>
      <w:shd w:val="clear" w:color="auto" w:fill="e1dfdd"/>
    </w:rPr>
  </w:style>
  <w:style w:type="paragraph" w:styleId="884">
    <w:name w:val="No Spacing"/>
    <w:uiPriority w:val="1"/>
    <w:qFormat/>
    <w:pPr>
      <w:jc w:val="both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885">
    <w:name w:val="annotation reference"/>
    <w:basedOn w:val="808"/>
    <w:uiPriority w:val="99"/>
    <w:semiHidden/>
    <w:unhideWhenUsed/>
    <w:rPr>
      <w:sz w:val="16"/>
      <w:szCs w:val="16"/>
    </w:rPr>
  </w:style>
  <w:style w:type="paragraph" w:styleId="886">
    <w:name w:val="annotation text"/>
    <w:basedOn w:val="798"/>
    <w:link w:val="887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87" w:customStyle="1">
    <w:name w:val="Текст примечания Знак"/>
    <w:basedOn w:val="808"/>
    <w:link w:val="886"/>
    <w:uiPriority w:val="99"/>
    <w:semiHidden/>
    <w:rPr>
      <w:rFonts w:ascii="Times New Roman" w:hAnsi="Times New Roman" w:cs="Times New Roman"/>
      <w:sz w:val="20"/>
      <w:szCs w:val="20"/>
    </w:rPr>
  </w:style>
  <w:style w:type="paragraph" w:styleId="888">
    <w:name w:val="annotation subject"/>
    <w:basedOn w:val="886"/>
    <w:next w:val="886"/>
    <w:link w:val="889"/>
    <w:uiPriority w:val="99"/>
    <w:semiHidden/>
    <w:unhideWhenUsed/>
    <w:rPr>
      <w:b/>
      <w:bCs/>
    </w:rPr>
  </w:style>
  <w:style w:type="character" w:styleId="889" w:customStyle="1">
    <w:name w:val="Тема примечания Знак"/>
    <w:basedOn w:val="887"/>
    <w:link w:val="888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paragraph" w:styleId="890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FCA78-80EA-4E67-8D81-60222C27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Кожанов</dc:creator>
  <cp:keywords/>
  <dc:description/>
  <cp:lastModifiedBy>Сергей Сергеевич Дамницкий</cp:lastModifiedBy>
  <cp:revision>47</cp:revision>
  <dcterms:created xsi:type="dcterms:W3CDTF">2021-04-30T10:50:00Z</dcterms:created>
  <dcterms:modified xsi:type="dcterms:W3CDTF">2026-06-02T15:45:46Z</dcterms:modified>
</cp:coreProperties>
</file>